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B6" w:rsidRDefault="00C10BCE" w:rsidP="002737B6">
      <w:pPr>
        <w:spacing w:before="100" w:beforeAutospacing="1" w:after="100" w:afterAutospacing="1"/>
        <w:rPr>
          <w:rFonts w:ascii="Arial" w:eastAsia="Times New Roman" w:hAnsi="Arial" w:cs="Arial"/>
          <w:color w:val="666666"/>
          <w:sz w:val="18"/>
          <w:szCs w:val="18"/>
          <w:lang w:eastAsia="en-ZA"/>
        </w:rPr>
      </w:pPr>
      <w:r>
        <w:rPr>
          <w:rFonts w:ascii="Calibri" w:hAnsi="Calibri"/>
          <w:b/>
          <w:noProof/>
          <w:lang w:val="en-US"/>
        </w:rPr>
        <w:drawing>
          <wp:anchor distT="0" distB="0" distL="114300" distR="114300" simplePos="0" relativeHeight="251659264" behindDoc="1" locked="0" layoutInCell="1" allowOverlap="1" wp14:anchorId="18C83F7C" wp14:editId="5538278D">
            <wp:simplePos x="0" y="0"/>
            <wp:positionH relativeFrom="column">
              <wp:posOffset>-923925</wp:posOffset>
            </wp:positionH>
            <wp:positionV relativeFrom="paragraph">
              <wp:posOffset>-922655</wp:posOffset>
            </wp:positionV>
            <wp:extent cx="7572375" cy="10704195"/>
            <wp:effectExtent l="0" t="0" r="9525" b="1905"/>
            <wp:wrapNone/>
            <wp:docPr id="3" name="Picture 0" descr="Watermark-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03.jpg"/>
                    <pic:cNvPicPr/>
                  </pic:nvPicPr>
                  <pic:blipFill>
                    <a:blip r:embed="rId6"/>
                    <a:stretch>
                      <a:fillRect/>
                    </a:stretch>
                  </pic:blipFill>
                  <pic:spPr>
                    <a:xfrm>
                      <a:off x="0" y="0"/>
                      <a:ext cx="7572375" cy="10704195"/>
                    </a:xfrm>
                    <a:prstGeom prst="rect">
                      <a:avLst/>
                    </a:prstGeom>
                  </pic:spPr>
                </pic:pic>
              </a:graphicData>
            </a:graphic>
          </wp:anchor>
        </w:drawing>
      </w:r>
      <w:r w:rsidR="00E7265C">
        <w:rPr>
          <w:rFonts w:ascii="Helvetica Neue LT Com" w:hAnsi="Helvetica Neue LT Com" w:cs="Helvetica Neue LT Com"/>
          <w:noProof/>
          <w:sz w:val="20"/>
          <w:szCs w:val="20"/>
          <w:lang w:val="en-US"/>
        </w:rPr>
        <w:drawing>
          <wp:inline distT="0" distB="0" distL="0" distR="0" wp14:anchorId="263EAC5F" wp14:editId="4D678E3B">
            <wp:extent cx="7143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p w:rsidR="00E7265C" w:rsidRPr="00E7265C" w:rsidRDefault="00E7265C" w:rsidP="00E7265C">
      <w:pPr>
        <w:spacing w:before="100" w:beforeAutospacing="1" w:after="100" w:afterAutospacing="1"/>
        <w:rPr>
          <w:rFonts w:ascii="Arial" w:eastAsia="Times New Roman" w:hAnsi="Arial" w:cs="Arial"/>
          <w:b/>
          <w:sz w:val="40"/>
          <w:szCs w:val="40"/>
          <w:lang w:eastAsia="en-ZA"/>
        </w:rPr>
      </w:pPr>
      <w:r>
        <w:rPr>
          <w:rFonts w:ascii="Arial" w:eastAsia="Times New Roman" w:hAnsi="Arial" w:cs="Arial"/>
          <w:b/>
          <w:sz w:val="40"/>
          <w:szCs w:val="40"/>
          <w:lang w:eastAsia="en-ZA"/>
        </w:rPr>
        <w:t xml:space="preserve">FASSET </w:t>
      </w:r>
      <w:r w:rsidRPr="00E7265C">
        <w:rPr>
          <w:rFonts w:ascii="Arial" w:eastAsia="Times New Roman" w:hAnsi="Arial" w:cs="Arial"/>
          <w:b/>
          <w:sz w:val="40"/>
          <w:szCs w:val="40"/>
          <w:lang w:eastAsia="en-ZA"/>
        </w:rPr>
        <w:t>Accreditation</w:t>
      </w:r>
    </w:p>
    <w:p w:rsidR="00BF1E66" w:rsidRPr="00BF1E66" w:rsidRDefault="006B0F29" w:rsidP="00BF1E66">
      <w:pPr>
        <w:spacing w:before="100" w:beforeAutospacing="1" w:after="100" w:afterAutospacing="1"/>
        <w:rPr>
          <w:rFonts w:ascii="Arial" w:eastAsia="Times New Roman" w:hAnsi="Arial" w:cs="Arial"/>
          <w:color w:val="666666"/>
          <w:sz w:val="18"/>
          <w:szCs w:val="18"/>
          <w:lang w:eastAsia="en-ZA"/>
        </w:rPr>
      </w:pPr>
      <w:r>
        <w:rPr>
          <w:rFonts w:ascii="Arial" w:eastAsia="Times New Roman" w:hAnsi="Arial" w:cs="Arial"/>
          <w:color w:val="666666"/>
          <w:sz w:val="18"/>
          <w:szCs w:val="18"/>
          <w:lang w:eastAsia="en-ZA"/>
        </w:rPr>
        <w:t>Sage</w:t>
      </w:r>
      <w:r w:rsidR="00BF1E66" w:rsidRPr="00BF1E66">
        <w:rPr>
          <w:rFonts w:ascii="Arial" w:eastAsia="Times New Roman" w:hAnsi="Arial" w:cs="Arial"/>
          <w:color w:val="666666"/>
          <w:sz w:val="18"/>
          <w:szCs w:val="18"/>
          <w:lang w:eastAsia="en-ZA"/>
        </w:rPr>
        <w:t xml:space="preserve"> Pastel has been accredited by FASSET, the SETA for Finance, Accounting, Management Consulting and other Financial Services as a Training Delivery and Assessment Site. This allows employers who send their employees on Training at </w:t>
      </w:r>
      <w:r w:rsidR="0051232D">
        <w:rPr>
          <w:rFonts w:ascii="Arial" w:eastAsia="Times New Roman" w:hAnsi="Arial" w:cs="Arial"/>
          <w:color w:val="666666"/>
          <w:sz w:val="18"/>
          <w:szCs w:val="18"/>
          <w:lang w:eastAsia="en-ZA"/>
        </w:rPr>
        <w:t xml:space="preserve">Sage </w:t>
      </w:r>
      <w:r w:rsidR="00BF1E66" w:rsidRPr="00BF1E66">
        <w:rPr>
          <w:rFonts w:ascii="Arial" w:eastAsia="Times New Roman" w:hAnsi="Arial" w:cs="Arial"/>
          <w:color w:val="666666"/>
          <w:sz w:val="18"/>
          <w:szCs w:val="18"/>
          <w:lang w:eastAsia="en-ZA"/>
        </w:rPr>
        <w:t>Pastel Payroll and who contribute to Skills Development Levies (SDL), to claim grants pertaining to the Training attended and thus recovering portions of SDL paid.</w:t>
      </w:r>
    </w:p>
    <w:p w:rsidR="00BF1E66" w:rsidRPr="00BF1E66" w:rsidRDefault="00BF1E66" w:rsidP="00BF1E66">
      <w:pPr>
        <w:numPr>
          <w:ilvl w:val="0"/>
          <w:numId w:val="2"/>
        </w:numPr>
        <w:spacing w:before="100" w:beforeAutospacing="1" w:after="100" w:afterAutospacing="1"/>
        <w:rPr>
          <w:rFonts w:ascii="Arial" w:eastAsia="Times New Roman" w:hAnsi="Arial" w:cs="Arial"/>
          <w:color w:val="666666"/>
          <w:sz w:val="18"/>
          <w:szCs w:val="18"/>
          <w:lang w:eastAsia="en-ZA"/>
        </w:rPr>
      </w:pPr>
      <w:r w:rsidRPr="00BF1E66">
        <w:rPr>
          <w:rFonts w:ascii="Arial" w:eastAsia="Times New Roman" w:hAnsi="Arial" w:cs="Arial"/>
          <w:color w:val="666666"/>
          <w:sz w:val="18"/>
          <w:szCs w:val="18"/>
          <w:lang w:eastAsia="en-ZA"/>
        </w:rPr>
        <w:t xml:space="preserve">The </w:t>
      </w:r>
      <w:r w:rsidR="0051232D">
        <w:rPr>
          <w:rFonts w:ascii="Arial" w:eastAsia="Times New Roman" w:hAnsi="Arial" w:cs="Arial"/>
          <w:color w:val="666666"/>
          <w:sz w:val="18"/>
          <w:szCs w:val="18"/>
          <w:lang w:eastAsia="en-ZA"/>
        </w:rPr>
        <w:t xml:space="preserve">Sage </w:t>
      </w:r>
      <w:r w:rsidRPr="00BF1E66">
        <w:rPr>
          <w:rFonts w:ascii="Arial" w:eastAsia="Times New Roman" w:hAnsi="Arial" w:cs="Arial"/>
          <w:color w:val="666666"/>
          <w:sz w:val="18"/>
          <w:szCs w:val="18"/>
          <w:lang w:eastAsia="en-ZA"/>
        </w:rPr>
        <w:t xml:space="preserve">Pastel Payroll Administrator </w:t>
      </w:r>
      <w:r w:rsidR="0051232D">
        <w:rPr>
          <w:rFonts w:ascii="Arial" w:eastAsia="Times New Roman" w:hAnsi="Arial" w:cs="Arial"/>
          <w:color w:val="666666"/>
          <w:sz w:val="18"/>
          <w:szCs w:val="18"/>
          <w:lang w:eastAsia="en-ZA"/>
        </w:rPr>
        <w:t>Qualification</w:t>
      </w:r>
      <w:r w:rsidRPr="00BF1E66">
        <w:rPr>
          <w:rFonts w:ascii="Arial" w:eastAsia="Times New Roman" w:hAnsi="Arial" w:cs="Arial"/>
          <w:color w:val="666666"/>
          <w:sz w:val="18"/>
          <w:szCs w:val="18"/>
          <w:lang w:eastAsia="en-ZA"/>
        </w:rPr>
        <w:t xml:space="preserve"> course covers the following unit standard: </w:t>
      </w:r>
      <w:r w:rsidRPr="00BF1E66">
        <w:rPr>
          <w:rFonts w:ascii="Arial" w:eastAsia="Times New Roman" w:hAnsi="Arial" w:cs="Arial"/>
          <w:color w:val="666666"/>
          <w:sz w:val="18"/>
          <w:szCs w:val="18"/>
          <w:lang w:eastAsia="en-ZA"/>
        </w:rPr>
        <w:br/>
        <w:t>114733 – Complete PAYE documents</w:t>
      </w:r>
    </w:p>
    <w:p w:rsidR="00BF1E66" w:rsidRPr="00BF1E66" w:rsidRDefault="00BF1E66" w:rsidP="00BF1E66">
      <w:pPr>
        <w:numPr>
          <w:ilvl w:val="0"/>
          <w:numId w:val="2"/>
        </w:numPr>
        <w:spacing w:before="100" w:beforeAutospacing="1" w:after="100" w:afterAutospacing="1"/>
        <w:rPr>
          <w:rFonts w:ascii="Arial" w:eastAsia="Times New Roman" w:hAnsi="Arial" w:cs="Arial"/>
          <w:color w:val="666666"/>
          <w:sz w:val="18"/>
          <w:szCs w:val="18"/>
          <w:lang w:eastAsia="en-ZA"/>
        </w:rPr>
      </w:pPr>
      <w:r w:rsidRPr="00BF1E66">
        <w:rPr>
          <w:rFonts w:ascii="Arial" w:eastAsia="Times New Roman" w:hAnsi="Arial" w:cs="Arial"/>
          <w:color w:val="666666"/>
          <w:sz w:val="18"/>
          <w:szCs w:val="18"/>
          <w:lang w:eastAsia="en-ZA"/>
        </w:rPr>
        <w:t xml:space="preserve">The </w:t>
      </w:r>
      <w:r w:rsidR="0051232D">
        <w:rPr>
          <w:rFonts w:ascii="Arial" w:eastAsia="Times New Roman" w:hAnsi="Arial" w:cs="Arial"/>
          <w:color w:val="666666"/>
          <w:sz w:val="18"/>
          <w:szCs w:val="18"/>
          <w:lang w:eastAsia="en-ZA"/>
        </w:rPr>
        <w:t xml:space="preserve">Sage </w:t>
      </w:r>
      <w:r w:rsidRPr="00BF1E66">
        <w:rPr>
          <w:rFonts w:ascii="Arial" w:eastAsia="Times New Roman" w:hAnsi="Arial" w:cs="Arial"/>
          <w:color w:val="666666"/>
          <w:sz w:val="18"/>
          <w:szCs w:val="18"/>
          <w:lang w:eastAsia="en-ZA"/>
        </w:rPr>
        <w:t xml:space="preserve">Pastel Payroll Administration </w:t>
      </w:r>
      <w:r w:rsidR="0051232D">
        <w:rPr>
          <w:rFonts w:ascii="Arial" w:eastAsia="Times New Roman" w:hAnsi="Arial" w:cs="Arial"/>
          <w:color w:val="666666"/>
          <w:sz w:val="18"/>
          <w:szCs w:val="18"/>
          <w:lang w:eastAsia="en-ZA"/>
        </w:rPr>
        <w:t xml:space="preserve">Qualification </w:t>
      </w:r>
      <w:r w:rsidRPr="00BF1E66">
        <w:rPr>
          <w:rFonts w:ascii="Arial" w:eastAsia="Times New Roman" w:hAnsi="Arial" w:cs="Arial"/>
          <w:color w:val="666666"/>
          <w:sz w:val="18"/>
          <w:szCs w:val="18"/>
          <w:lang w:eastAsia="en-ZA"/>
        </w:rPr>
        <w:t>course is rated as a Level 4 certification on the National Qualifications Framework (NQF).</w:t>
      </w:r>
    </w:p>
    <w:p w:rsidR="00BF1E66" w:rsidRPr="00BF1E66" w:rsidRDefault="0051232D" w:rsidP="00BF1E66">
      <w:pPr>
        <w:numPr>
          <w:ilvl w:val="0"/>
          <w:numId w:val="2"/>
        </w:numPr>
        <w:spacing w:before="100" w:beforeAutospacing="1" w:after="100" w:afterAutospacing="1"/>
        <w:rPr>
          <w:rFonts w:ascii="Arial" w:eastAsia="Times New Roman" w:hAnsi="Arial" w:cs="Arial"/>
          <w:color w:val="666666"/>
          <w:sz w:val="18"/>
          <w:szCs w:val="18"/>
          <w:lang w:eastAsia="en-ZA"/>
        </w:rPr>
      </w:pPr>
      <w:r>
        <w:rPr>
          <w:rFonts w:ascii="Arial" w:eastAsia="Times New Roman" w:hAnsi="Arial" w:cs="Arial"/>
          <w:color w:val="666666"/>
          <w:sz w:val="18"/>
          <w:szCs w:val="18"/>
          <w:lang w:eastAsia="en-ZA"/>
        </w:rPr>
        <w:t xml:space="preserve">Sage </w:t>
      </w:r>
      <w:r w:rsidR="00BF1E66" w:rsidRPr="00BF1E66">
        <w:rPr>
          <w:rFonts w:ascii="Arial" w:eastAsia="Times New Roman" w:hAnsi="Arial" w:cs="Arial"/>
          <w:color w:val="666666"/>
          <w:sz w:val="18"/>
          <w:szCs w:val="18"/>
          <w:lang w:eastAsia="en-ZA"/>
        </w:rPr>
        <w:t>Pastel Payroll’s Accreditation Number with FASSET is 585/01018/09.</w:t>
      </w:r>
    </w:p>
    <w:p w:rsidR="00BF1E66" w:rsidRDefault="00BF1E66" w:rsidP="00BF1E66">
      <w:pPr>
        <w:spacing w:before="100" w:beforeAutospacing="1" w:after="100" w:afterAutospacing="1"/>
        <w:rPr>
          <w:rFonts w:ascii="Arial" w:eastAsia="Times New Roman" w:hAnsi="Arial" w:cs="Arial"/>
          <w:color w:val="666666"/>
          <w:sz w:val="18"/>
          <w:szCs w:val="18"/>
          <w:lang w:eastAsia="en-ZA"/>
        </w:rPr>
      </w:pPr>
      <w:r w:rsidRPr="00BF1E66">
        <w:rPr>
          <w:rFonts w:ascii="Arial" w:eastAsia="Times New Roman" w:hAnsi="Arial" w:cs="Arial"/>
          <w:color w:val="666666"/>
          <w:sz w:val="18"/>
          <w:szCs w:val="18"/>
          <w:lang w:eastAsia="en-ZA"/>
        </w:rPr>
        <w:t>For more information on whether you can qualify for claiming grants, please contact your applicable SETA.</w:t>
      </w:r>
    </w:p>
    <w:p w:rsidR="00E7265C" w:rsidRPr="00E7265C" w:rsidRDefault="00E7265C" w:rsidP="00E7265C">
      <w:pPr>
        <w:spacing w:before="100" w:beforeAutospacing="1" w:after="100" w:afterAutospacing="1"/>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Training can be done at any of our 500 </w:t>
      </w:r>
      <w:hyperlink r:id="rId8" w:history="1">
        <w:r w:rsidRPr="00E7265C">
          <w:rPr>
            <w:rFonts w:ascii="Arial" w:eastAsia="Times New Roman" w:hAnsi="Arial" w:cs="Arial"/>
            <w:b/>
            <w:bCs/>
            <w:color w:val="002448"/>
            <w:sz w:val="18"/>
            <w:szCs w:val="18"/>
            <w:lang w:eastAsia="en-ZA"/>
          </w:rPr>
          <w:t>Authorised Training Centres</w:t>
        </w:r>
      </w:hyperlink>
      <w:r w:rsidRPr="00E7265C">
        <w:rPr>
          <w:rFonts w:ascii="Arial" w:eastAsia="Times New Roman" w:hAnsi="Arial" w:cs="Arial"/>
          <w:color w:val="666666"/>
          <w:sz w:val="18"/>
          <w:szCs w:val="18"/>
          <w:lang w:eastAsia="en-ZA"/>
        </w:rPr>
        <w:t xml:space="preserve"> nationally which are all </w:t>
      </w:r>
      <w:proofErr w:type="spellStart"/>
      <w:r w:rsidRPr="00E7265C">
        <w:rPr>
          <w:rFonts w:ascii="Arial" w:eastAsia="Times New Roman" w:hAnsi="Arial" w:cs="Arial"/>
          <w:color w:val="666666"/>
          <w:sz w:val="18"/>
          <w:szCs w:val="18"/>
          <w:lang w:eastAsia="en-ZA"/>
        </w:rPr>
        <w:t>Fasset</w:t>
      </w:r>
      <w:proofErr w:type="spellEnd"/>
      <w:r w:rsidRPr="00E7265C">
        <w:rPr>
          <w:rFonts w:ascii="Arial" w:eastAsia="Times New Roman" w:hAnsi="Arial" w:cs="Arial"/>
          <w:color w:val="666666"/>
          <w:sz w:val="18"/>
          <w:szCs w:val="18"/>
          <w:lang w:eastAsia="en-ZA"/>
        </w:rPr>
        <w:t xml:space="preserve"> accredited. Our accreditation number is QAP/585/008</w:t>
      </w:r>
      <w:r w:rsidRPr="00E7265C">
        <w:rPr>
          <w:rFonts w:ascii="Arial" w:eastAsia="Times New Roman" w:hAnsi="Arial" w:cs="Arial"/>
          <w:color w:val="666666"/>
          <w:sz w:val="18"/>
          <w:szCs w:val="18"/>
          <w:lang w:eastAsia="en-ZA"/>
        </w:rPr>
        <w:br/>
      </w:r>
      <w:r w:rsidRPr="00E7265C">
        <w:rPr>
          <w:rFonts w:ascii="Arial" w:eastAsia="Times New Roman" w:hAnsi="Arial" w:cs="Arial"/>
          <w:color w:val="666666"/>
          <w:sz w:val="18"/>
          <w:szCs w:val="18"/>
          <w:lang w:eastAsia="en-ZA"/>
        </w:rPr>
        <w:br/>
      </w:r>
      <w:proofErr w:type="gramStart"/>
      <w:r w:rsidRPr="00E7265C">
        <w:rPr>
          <w:rFonts w:ascii="Arial" w:eastAsia="Times New Roman" w:hAnsi="Arial" w:cs="Arial"/>
          <w:color w:val="666666"/>
          <w:sz w:val="18"/>
          <w:szCs w:val="18"/>
          <w:lang w:eastAsia="en-ZA"/>
        </w:rPr>
        <w:t>The</w:t>
      </w:r>
      <w:proofErr w:type="gramEnd"/>
      <w:r w:rsidRPr="00E7265C">
        <w:rPr>
          <w:rFonts w:ascii="Arial" w:eastAsia="Times New Roman" w:hAnsi="Arial" w:cs="Arial"/>
          <w:color w:val="666666"/>
          <w:sz w:val="18"/>
          <w:szCs w:val="18"/>
          <w:lang w:eastAsia="en-ZA"/>
        </w:rPr>
        <w:t xml:space="preserve"> main benefit of being accredited as a Quality Assurance Partner by </w:t>
      </w:r>
      <w:proofErr w:type="spellStart"/>
      <w:r w:rsidRPr="00E7265C">
        <w:rPr>
          <w:rFonts w:ascii="Arial" w:eastAsia="Times New Roman" w:hAnsi="Arial" w:cs="Arial"/>
          <w:color w:val="666666"/>
          <w:sz w:val="18"/>
          <w:szCs w:val="18"/>
          <w:lang w:eastAsia="en-ZA"/>
        </w:rPr>
        <w:t>Fasset</w:t>
      </w:r>
      <w:proofErr w:type="spellEnd"/>
      <w:r w:rsidRPr="00E7265C">
        <w:rPr>
          <w:rFonts w:ascii="Arial" w:eastAsia="Times New Roman" w:hAnsi="Arial" w:cs="Arial"/>
          <w:color w:val="666666"/>
          <w:sz w:val="18"/>
          <w:szCs w:val="18"/>
          <w:lang w:eastAsia="en-ZA"/>
        </w:rPr>
        <w:t xml:space="preserve"> is quality assurance for customers. </w:t>
      </w:r>
      <w:proofErr w:type="spellStart"/>
      <w:r w:rsidRPr="00E7265C">
        <w:rPr>
          <w:rFonts w:ascii="Arial" w:eastAsia="Times New Roman" w:hAnsi="Arial" w:cs="Arial"/>
          <w:color w:val="666666"/>
          <w:sz w:val="18"/>
          <w:szCs w:val="18"/>
          <w:lang w:eastAsia="en-ZA"/>
        </w:rPr>
        <w:t>Fasset</w:t>
      </w:r>
      <w:proofErr w:type="spellEnd"/>
      <w:r w:rsidRPr="00E7265C">
        <w:rPr>
          <w:rFonts w:ascii="Arial" w:eastAsia="Times New Roman" w:hAnsi="Arial" w:cs="Arial"/>
          <w:color w:val="666666"/>
          <w:sz w:val="18"/>
          <w:szCs w:val="18"/>
          <w:lang w:eastAsia="en-ZA"/>
        </w:rPr>
        <w:t xml:space="preserve"> continually monitors the delivery of quality assurance with respect to the courses for which </w:t>
      </w:r>
      <w:r w:rsidR="0051232D">
        <w:rPr>
          <w:rFonts w:ascii="Arial" w:eastAsia="Times New Roman" w:hAnsi="Arial" w:cs="Arial"/>
          <w:color w:val="666666"/>
          <w:sz w:val="18"/>
          <w:szCs w:val="18"/>
          <w:lang w:eastAsia="en-ZA"/>
        </w:rPr>
        <w:t xml:space="preserve">Sage </w:t>
      </w:r>
      <w:r w:rsidRPr="00E7265C">
        <w:rPr>
          <w:rFonts w:ascii="Arial" w:eastAsia="Times New Roman" w:hAnsi="Arial" w:cs="Arial"/>
          <w:color w:val="666666"/>
          <w:sz w:val="18"/>
          <w:szCs w:val="18"/>
          <w:lang w:eastAsia="en-ZA"/>
        </w:rPr>
        <w:t xml:space="preserve">Pastel has been accredited. In addition to the quality assurance provided by </w:t>
      </w:r>
      <w:proofErr w:type="spellStart"/>
      <w:r w:rsidRPr="00E7265C">
        <w:rPr>
          <w:rFonts w:ascii="Arial" w:eastAsia="Times New Roman" w:hAnsi="Arial" w:cs="Arial"/>
          <w:color w:val="666666"/>
          <w:sz w:val="18"/>
          <w:szCs w:val="18"/>
          <w:lang w:eastAsia="en-ZA"/>
        </w:rPr>
        <w:t>Fasset</w:t>
      </w:r>
      <w:proofErr w:type="spellEnd"/>
      <w:r w:rsidRPr="00E7265C">
        <w:rPr>
          <w:rFonts w:ascii="Arial" w:eastAsia="Times New Roman" w:hAnsi="Arial" w:cs="Arial"/>
          <w:color w:val="666666"/>
          <w:sz w:val="18"/>
          <w:szCs w:val="18"/>
          <w:lang w:eastAsia="en-ZA"/>
        </w:rPr>
        <w:t xml:space="preserve"> accreditation, training attendees who pass their assessments will gain credits toward a formal qualification and employers will be eligible to claim back the training costs in line with the Skills Development Levy Act.</w:t>
      </w:r>
    </w:p>
    <w:p w:rsidR="00E7265C" w:rsidRPr="00E7265C" w:rsidRDefault="00E7265C" w:rsidP="00E7265C">
      <w:pPr>
        <w:spacing w:before="100" w:beforeAutospacing="1" w:after="100" w:afterAutospacing="1"/>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 xml:space="preserve">Below is a summary of our courses that are </w:t>
      </w:r>
      <w:proofErr w:type="spellStart"/>
      <w:r w:rsidRPr="00E7265C">
        <w:rPr>
          <w:rFonts w:ascii="Arial" w:eastAsia="Times New Roman" w:hAnsi="Arial" w:cs="Arial"/>
          <w:b/>
          <w:bCs/>
          <w:color w:val="666666"/>
          <w:sz w:val="18"/>
          <w:szCs w:val="18"/>
          <w:lang w:eastAsia="en-ZA"/>
        </w:rPr>
        <w:t>Fasset</w:t>
      </w:r>
      <w:proofErr w:type="spellEnd"/>
      <w:r w:rsidRPr="00E7265C">
        <w:rPr>
          <w:rFonts w:ascii="Arial" w:eastAsia="Times New Roman" w:hAnsi="Arial" w:cs="Arial"/>
          <w:b/>
          <w:bCs/>
          <w:color w:val="666666"/>
          <w:sz w:val="18"/>
          <w:szCs w:val="18"/>
          <w:lang w:eastAsia="en-ZA"/>
        </w:rPr>
        <w:t xml:space="preserve"> </w:t>
      </w:r>
      <w:proofErr w:type="gramStart"/>
      <w:r w:rsidRPr="00E7265C">
        <w:rPr>
          <w:rFonts w:ascii="Arial" w:eastAsia="Times New Roman" w:hAnsi="Arial" w:cs="Arial"/>
          <w:b/>
          <w:bCs/>
          <w:color w:val="666666"/>
          <w:sz w:val="18"/>
          <w:szCs w:val="18"/>
          <w:lang w:eastAsia="en-ZA"/>
        </w:rPr>
        <w:t>accredited.</w:t>
      </w:r>
      <w:proofErr w:type="gramEnd"/>
    </w:p>
    <w:tbl>
      <w:tblPr>
        <w:tblW w:w="4154" w:type="pct"/>
        <w:tblCellSpacing w:w="7" w:type="dxa"/>
        <w:shd w:val="clear" w:color="auto" w:fill="E6E6E6"/>
        <w:tblCellMar>
          <w:top w:w="45" w:type="dxa"/>
          <w:left w:w="45" w:type="dxa"/>
          <w:bottom w:w="45" w:type="dxa"/>
          <w:right w:w="45" w:type="dxa"/>
        </w:tblCellMar>
        <w:tblLook w:val="04A0" w:firstRow="1" w:lastRow="0" w:firstColumn="1" w:lastColumn="0" w:noHBand="0" w:noVBand="1"/>
      </w:tblPr>
      <w:tblGrid>
        <w:gridCol w:w="1736"/>
        <w:gridCol w:w="555"/>
        <w:gridCol w:w="2090"/>
        <w:gridCol w:w="644"/>
        <w:gridCol w:w="1367"/>
        <w:gridCol w:w="644"/>
        <w:gridCol w:w="561"/>
      </w:tblGrid>
      <w:tr w:rsidR="00E7265C" w:rsidRPr="00E7265C" w:rsidTr="00E7265C">
        <w:trPr>
          <w:gridAfter w:val="1"/>
          <w:wAfter w:w="356" w:type="pct"/>
          <w:trHeight w:val="375"/>
          <w:tblCellSpacing w:w="7" w:type="dxa"/>
        </w:trPr>
        <w:tc>
          <w:tcPr>
            <w:tcW w:w="0" w:type="auto"/>
            <w:gridSpan w:val="2"/>
            <w:tcBorders>
              <w:top w:val="nil"/>
              <w:left w:val="nil"/>
              <w:bottom w:val="nil"/>
              <w:right w:val="nil"/>
            </w:tcBorders>
            <w:shd w:val="clear" w:color="auto" w:fill="00B3BE"/>
            <w:vAlign w:val="center"/>
            <w:hideMark/>
          </w:tcPr>
          <w:p w:rsidR="00E7265C" w:rsidRPr="00E7265C" w:rsidRDefault="0051232D" w:rsidP="00E7265C">
            <w:pPr>
              <w:jc w:val="center"/>
              <w:divId w:val="1455363428"/>
              <w:rPr>
                <w:rFonts w:ascii="Arial" w:eastAsia="Times New Roman" w:hAnsi="Arial" w:cs="Arial"/>
                <w:b/>
                <w:bCs/>
                <w:color w:val="FFFFFF"/>
                <w:sz w:val="18"/>
                <w:szCs w:val="18"/>
                <w:lang w:eastAsia="en-ZA"/>
              </w:rPr>
            </w:pPr>
            <w:r>
              <w:rPr>
                <w:rFonts w:ascii="Arial" w:eastAsia="Times New Roman" w:hAnsi="Arial" w:cs="Arial"/>
                <w:b/>
                <w:bCs/>
                <w:color w:val="FFFFFF"/>
                <w:sz w:val="18"/>
                <w:szCs w:val="18"/>
                <w:lang w:eastAsia="en-ZA"/>
              </w:rPr>
              <w:t xml:space="preserve">Sage </w:t>
            </w:r>
            <w:r w:rsidR="00E7265C" w:rsidRPr="00E7265C">
              <w:rPr>
                <w:rFonts w:ascii="Arial" w:eastAsia="Times New Roman" w:hAnsi="Arial" w:cs="Arial"/>
                <w:b/>
                <w:bCs/>
                <w:color w:val="FFFFFF"/>
                <w:sz w:val="18"/>
                <w:szCs w:val="18"/>
                <w:lang w:eastAsia="en-ZA"/>
              </w:rPr>
              <w:t>Pastel My Business</w:t>
            </w:r>
          </w:p>
        </w:tc>
        <w:tc>
          <w:tcPr>
            <w:tcW w:w="0" w:type="auto"/>
            <w:gridSpan w:val="2"/>
            <w:tcBorders>
              <w:top w:val="nil"/>
              <w:left w:val="nil"/>
              <w:bottom w:val="nil"/>
              <w:right w:val="nil"/>
            </w:tcBorders>
            <w:shd w:val="clear" w:color="auto" w:fill="00B3BE"/>
            <w:vAlign w:val="center"/>
            <w:hideMark/>
          </w:tcPr>
          <w:p w:rsidR="00E7265C" w:rsidRPr="00E7265C" w:rsidRDefault="0051232D" w:rsidP="00E7265C">
            <w:pPr>
              <w:jc w:val="center"/>
              <w:rPr>
                <w:rFonts w:ascii="Arial" w:eastAsia="Times New Roman" w:hAnsi="Arial" w:cs="Arial"/>
                <w:b/>
                <w:bCs/>
                <w:color w:val="FFFFFF"/>
                <w:sz w:val="18"/>
                <w:szCs w:val="18"/>
                <w:lang w:eastAsia="en-ZA"/>
              </w:rPr>
            </w:pPr>
            <w:r>
              <w:rPr>
                <w:rFonts w:ascii="Arial" w:eastAsia="Times New Roman" w:hAnsi="Arial" w:cs="Arial"/>
                <w:b/>
                <w:bCs/>
                <w:color w:val="FFFFFF"/>
                <w:sz w:val="18"/>
                <w:szCs w:val="18"/>
                <w:lang w:eastAsia="en-ZA"/>
              </w:rPr>
              <w:t xml:space="preserve">Sage </w:t>
            </w:r>
            <w:r w:rsidR="00E7265C" w:rsidRPr="00E7265C">
              <w:rPr>
                <w:rFonts w:ascii="Arial" w:eastAsia="Times New Roman" w:hAnsi="Arial" w:cs="Arial"/>
                <w:b/>
                <w:bCs/>
                <w:color w:val="FFFFFF"/>
                <w:sz w:val="18"/>
                <w:szCs w:val="18"/>
                <w:lang w:eastAsia="en-ZA"/>
              </w:rPr>
              <w:t>Pastel Partner Intermediate</w:t>
            </w:r>
          </w:p>
        </w:tc>
        <w:tc>
          <w:tcPr>
            <w:tcW w:w="0" w:type="auto"/>
            <w:gridSpan w:val="2"/>
            <w:tcBorders>
              <w:top w:val="nil"/>
              <w:left w:val="nil"/>
              <w:bottom w:val="nil"/>
              <w:right w:val="nil"/>
            </w:tcBorders>
            <w:shd w:val="clear" w:color="auto" w:fill="00B3BE"/>
            <w:vAlign w:val="center"/>
            <w:hideMark/>
          </w:tcPr>
          <w:p w:rsidR="00E7265C" w:rsidRPr="00E7265C" w:rsidRDefault="0051232D" w:rsidP="00E7265C">
            <w:pPr>
              <w:jc w:val="center"/>
              <w:rPr>
                <w:rFonts w:ascii="Arial" w:eastAsia="Times New Roman" w:hAnsi="Arial" w:cs="Arial"/>
                <w:b/>
                <w:bCs/>
                <w:color w:val="FFFFFF"/>
                <w:sz w:val="18"/>
                <w:szCs w:val="18"/>
                <w:lang w:eastAsia="en-ZA"/>
              </w:rPr>
            </w:pPr>
            <w:r>
              <w:rPr>
                <w:rFonts w:ascii="Arial" w:eastAsia="Times New Roman" w:hAnsi="Arial" w:cs="Arial"/>
                <w:b/>
                <w:bCs/>
                <w:color w:val="FFFFFF"/>
                <w:sz w:val="18"/>
                <w:szCs w:val="18"/>
                <w:lang w:eastAsia="en-ZA"/>
              </w:rPr>
              <w:t xml:space="preserve">Sage </w:t>
            </w:r>
            <w:r w:rsidR="00E7265C" w:rsidRPr="00E7265C">
              <w:rPr>
                <w:rFonts w:ascii="Arial" w:eastAsia="Times New Roman" w:hAnsi="Arial" w:cs="Arial"/>
                <w:b/>
                <w:bCs/>
                <w:color w:val="FFFFFF"/>
                <w:sz w:val="18"/>
                <w:szCs w:val="18"/>
                <w:lang w:eastAsia="en-ZA"/>
              </w:rPr>
              <w:t>Pastel Partner Processing</w:t>
            </w:r>
          </w:p>
        </w:tc>
      </w:tr>
      <w:tr w:rsidR="00E7265C" w:rsidRPr="00E7265C" w:rsidTr="00E7265C">
        <w:trPr>
          <w:trHeight w:val="375"/>
          <w:tblCellSpacing w:w="7" w:type="dxa"/>
        </w:trPr>
        <w:tc>
          <w:tcPr>
            <w:tcW w:w="1128"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Unit Standards</w:t>
            </w:r>
          </w:p>
        </w:tc>
        <w:tc>
          <w:tcPr>
            <w:tcW w:w="356"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NQF</w:t>
            </w:r>
          </w:p>
        </w:tc>
        <w:tc>
          <w:tcPr>
            <w:tcW w:w="1365"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Unit Standards</w:t>
            </w:r>
          </w:p>
        </w:tc>
        <w:tc>
          <w:tcPr>
            <w:tcW w:w="415"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NQF</w:t>
            </w:r>
          </w:p>
        </w:tc>
        <w:tc>
          <w:tcPr>
            <w:tcW w:w="890"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Unit Standards</w:t>
            </w:r>
          </w:p>
        </w:tc>
        <w:tc>
          <w:tcPr>
            <w:tcW w:w="415"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NQF</w:t>
            </w:r>
          </w:p>
        </w:tc>
        <w:tc>
          <w:tcPr>
            <w:tcW w:w="356" w:type="pct"/>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b/>
                <w:bCs/>
                <w:color w:val="666666"/>
                <w:sz w:val="18"/>
                <w:szCs w:val="18"/>
                <w:lang w:eastAsia="en-ZA"/>
              </w:rPr>
              <w:t>NQF</w:t>
            </w:r>
          </w:p>
        </w:tc>
      </w:tr>
      <w:tr w:rsidR="00E7265C" w:rsidRPr="00E7265C" w:rsidTr="00E7265C">
        <w:trPr>
          <w:trHeight w:val="375"/>
          <w:tblCellSpacing w:w="7" w:type="dxa"/>
        </w:trPr>
        <w:tc>
          <w:tcPr>
            <w:tcW w:w="0" w:type="auto"/>
            <w:tcBorders>
              <w:top w:val="nil"/>
              <w:left w:val="nil"/>
              <w:bottom w:val="nil"/>
              <w:right w:val="nil"/>
            </w:tcBorders>
            <w:shd w:val="clear" w:color="auto" w:fill="FFFFFF"/>
            <w:vAlign w:val="center"/>
            <w:hideMark/>
          </w:tcPr>
          <w:p w:rsidR="00E7265C" w:rsidRPr="00E7265C" w:rsidRDefault="00E7265C" w:rsidP="00E7265C">
            <w:pPr>
              <w:jc w:val="right"/>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243944</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4</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right"/>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114736</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4</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right"/>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114736</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4</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5</w:t>
            </w:r>
          </w:p>
        </w:tc>
      </w:tr>
      <w:tr w:rsidR="00E7265C" w:rsidRPr="00E7265C" w:rsidTr="00E7265C">
        <w:trPr>
          <w:trHeight w:val="375"/>
          <w:tblCellSpacing w:w="7" w:type="dxa"/>
        </w:trPr>
        <w:tc>
          <w:tcPr>
            <w:tcW w:w="0" w:type="auto"/>
            <w:tcBorders>
              <w:top w:val="nil"/>
              <w:left w:val="nil"/>
              <w:bottom w:val="nil"/>
              <w:right w:val="nil"/>
            </w:tcBorders>
            <w:shd w:val="clear" w:color="auto" w:fill="FFFFFF"/>
            <w:vAlign w:val="center"/>
            <w:hideMark/>
          </w:tcPr>
          <w:p w:rsidR="00E7265C" w:rsidRPr="00E7265C" w:rsidRDefault="00E7265C" w:rsidP="00E7265C">
            <w:pPr>
              <w:jc w:val="right"/>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114736</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4</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right"/>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12991</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5</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right"/>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12992</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5</w:t>
            </w: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5</w:t>
            </w:r>
          </w:p>
        </w:tc>
      </w:tr>
      <w:tr w:rsidR="00E7265C" w:rsidRPr="00E7265C" w:rsidTr="00E7265C">
        <w:trPr>
          <w:trHeight w:val="375"/>
          <w:tblCellSpacing w:w="7" w:type="dxa"/>
        </w:trPr>
        <w:tc>
          <w:tcPr>
            <w:tcW w:w="0" w:type="auto"/>
            <w:gridSpan w:val="6"/>
            <w:tcBorders>
              <w:top w:val="nil"/>
              <w:left w:val="nil"/>
              <w:bottom w:val="nil"/>
              <w:right w:val="nil"/>
            </w:tcBorders>
            <w:shd w:val="clear" w:color="auto" w:fill="F3F3F3"/>
            <w:vAlign w:val="center"/>
            <w:hideMark/>
          </w:tcPr>
          <w:p w:rsidR="00E7265C" w:rsidRPr="00E7265C" w:rsidRDefault="00E7265C" w:rsidP="00E7265C">
            <w:pPr>
              <w:jc w:val="center"/>
              <w:rPr>
                <w:rFonts w:ascii="Arial" w:eastAsia="Times New Roman" w:hAnsi="Arial" w:cs="Arial"/>
                <w:color w:val="666666"/>
                <w:sz w:val="18"/>
                <w:szCs w:val="18"/>
                <w:lang w:eastAsia="en-ZA"/>
              </w:rPr>
            </w:pPr>
          </w:p>
        </w:tc>
        <w:tc>
          <w:tcPr>
            <w:tcW w:w="0" w:type="auto"/>
            <w:tcBorders>
              <w:top w:val="nil"/>
              <w:left w:val="nil"/>
              <w:bottom w:val="nil"/>
              <w:right w:val="nil"/>
            </w:tcBorders>
            <w:shd w:val="clear" w:color="auto" w:fill="FFFFFF"/>
            <w:vAlign w:val="center"/>
            <w:hideMark/>
          </w:tcPr>
          <w:p w:rsidR="00E7265C" w:rsidRPr="00E7265C" w:rsidRDefault="00E7265C" w:rsidP="00E7265C">
            <w:pPr>
              <w:jc w:val="center"/>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5</w:t>
            </w:r>
          </w:p>
        </w:tc>
      </w:tr>
    </w:tbl>
    <w:p w:rsidR="00E7265C" w:rsidRPr="00E7265C" w:rsidRDefault="00E7265C" w:rsidP="00BF1E66">
      <w:pPr>
        <w:spacing w:before="100" w:beforeAutospacing="1" w:after="100" w:afterAutospacing="1"/>
        <w:rPr>
          <w:rFonts w:ascii="Arial" w:eastAsia="Times New Roman" w:hAnsi="Arial" w:cs="Arial"/>
          <w:b/>
          <w:sz w:val="40"/>
          <w:szCs w:val="40"/>
          <w:lang w:eastAsia="en-ZA"/>
        </w:rPr>
      </w:pPr>
      <w:r w:rsidRPr="00E7265C">
        <w:rPr>
          <w:rFonts w:ascii="Arial" w:eastAsia="Times New Roman" w:hAnsi="Arial" w:cs="Arial"/>
          <w:b/>
          <w:sz w:val="40"/>
          <w:szCs w:val="40"/>
          <w:lang w:eastAsia="en-ZA"/>
        </w:rPr>
        <w:t>SETA Accreditation</w:t>
      </w:r>
    </w:p>
    <w:p w:rsidR="00E7265C" w:rsidRPr="00E7265C" w:rsidRDefault="00E7265C" w:rsidP="00E7265C">
      <w:pPr>
        <w:spacing w:before="100" w:beforeAutospacing="1" w:after="100" w:afterAutospacing="1"/>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S</w:t>
      </w:r>
      <w:r w:rsidR="006B0F29">
        <w:rPr>
          <w:rFonts w:ascii="Arial" w:eastAsia="Times New Roman" w:hAnsi="Arial" w:cs="Arial"/>
          <w:color w:val="666666"/>
          <w:sz w:val="18"/>
          <w:szCs w:val="18"/>
          <w:lang w:eastAsia="en-ZA"/>
        </w:rPr>
        <w:t>age</w:t>
      </w:r>
      <w:r w:rsidRPr="00E7265C">
        <w:rPr>
          <w:rFonts w:ascii="Arial" w:eastAsia="Times New Roman" w:hAnsi="Arial" w:cs="Arial"/>
          <w:color w:val="666666"/>
          <w:sz w:val="18"/>
          <w:szCs w:val="18"/>
          <w:lang w:eastAsia="en-ZA"/>
        </w:rPr>
        <w:t xml:space="preserve"> Pastel has been accredited by FASSET, the SETA for Finance, Accounting, Management Consulting and other Financial Services as a Training Delivery and Assessment Site. This allows employers who send their employees on Training at Pastel Payroll and who contribute to Skills Development Levies (SDL), to claim grants pertaining to the Training attended and thus recovering portions of SDL paid.</w:t>
      </w:r>
    </w:p>
    <w:p w:rsidR="00E7265C" w:rsidRPr="00E7265C" w:rsidRDefault="00E7265C" w:rsidP="00E7265C">
      <w:pPr>
        <w:numPr>
          <w:ilvl w:val="0"/>
          <w:numId w:val="6"/>
        </w:numPr>
        <w:spacing w:before="100" w:beforeAutospacing="1" w:after="100" w:afterAutospacing="1"/>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 xml:space="preserve">The </w:t>
      </w:r>
      <w:r w:rsidR="0051232D">
        <w:rPr>
          <w:rFonts w:ascii="Arial" w:eastAsia="Times New Roman" w:hAnsi="Arial" w:cs="Arial"/>
          <w:color w:val="666666"/>
          <w:sz w:val="18"/>
          <w:szCs w:val="18"/>
          <w:lang w:eastAsia="en-ZA"/>
        </w:rPr>
        <w:t xml:space="preserve">Sage </w:t>
      </w:r>
      <w:r w:rsidRPr="00E7265C">
        <w:rPr>
          <w:rFonts w:ascii="Arial" w:eastAsia="Times New Roman" w:hAnsi="Arial" w:cs="Arial"/>
          <w:color w:val="666666"/>
          <w:sz w:val="18"/>
          <w:szCs w:val="18"/>
          <w:lang w:eastAsia="en-ZA"/>
        </w:rPr>
        <w:t xml:space="preserve">Pastel Payroll Administrator </w:t>
      </w:r>
      <w:r w:rsidR="0051232D">
        <w:rPr>
          <w:rFonts w:ascii="Arial" w:eastAsia="Times New Roman" w:hAnsi="Arial" w:cs="Arial"/>
          <w:color w:val="666666"/>
          <w:sz w:val="18"/>
          <w:szCs w:val="18"/>
          <w:lang w:eastAsia="en-ZA"/>
        </w:rPr>
        <w:t>Qualification</w:t>
      </w:r>
      <w:r w:rsidRPr="00E7265C">
        <w:rPr>
          <w:rFonts w:ascii="Arial" w:eastAsia="Times New Roman" w:hAnsi="Arial" w:cs="Arial"/>
          <w:color w:val="666666"/>
          <w:sz w:val="18"/>
          <w:szCs w:val="18"/>
          <w:lang w:eastAsia="en-ZA"/>
        </w:rPr>
        <w:t xml:space="preserve"> course covers the following unit standard: </w:t>
      </w:r>
      <w:r w:rsidRPr="00E7265C">
        <w:rPr>
          <w:rFonts w:ascii="Arial" w:eastAsia="Times New Roman" w:hAnsi="Arial" w:cs="Arial"/>
          <w:color w:val="666666"/>
          <w:sz w:val="18"/>
          <w:szCs w:val="18"/>
          <w:lang w:eastAsia="en-ZA"/>
        </w:rPr>
        <w:br/>
        <w:t>114733 – Complete PAYE documents</w:t>
      </w:r>
    </w:p>
    <w:p w:rsidR="00E7265C" w:rsidRPr="00E7265C" w:rsidRDefault="00E7265C" w:rsidP="00E7265C">
      <w:pPr>
        <w:numPr>
          <w:ilvl w:val="0"/>
          <w:numId w:val="6"/>
        </w:numPr>
        <w:spacing w:before="100" w:beforeAutospacing="1" w:after="100" w:afterAutospacing="1"/>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 xml:space="preserve">The </w:t>
      </w:r>
      <w:r w:rsidR="0051232D">
        <w:rPr>
          <w:rFonts w:ascii="Arial" w:eastAsia="Times New Roman" w:hAnsi="Arial" w:cs="Arial"/>
          <w:color w:val="666666"/>
          <w:sz w:val="18"/>
          <w:szCs w:val="18"/>
          <w:lang w:eastAsia="en-ZA"/>
        </w:rPr>
        <w:t xml:space="preserve">Sage </w:t>
      </w:r>
      <w:r w:rsidRPr="00E7265C">
        <w:rPr>
          <w:rFonts w:ascii="Arial" w:eastAsia="Times New Roman" w:hAnsi="Arial" w:cs="Arial"/>
          <w:color w:val="666666"/>
          <w:sz w:val="18"/>
          <w:szCs w:val="18"/>
          <w:lang w:eastAsia="en-ZA"/>
        </w:rPr>
        <w:t xml:space="preserve">Pastel Payroll Administration </w:t>
      </w:r>
      <w:r w:rsidR="0051232D">
        <w:rPr>
          <w:rFonts w:ascii="Arial" w:eastAsia="Times New Roman" w:hAnsi="Arial" w:cs="Arial"/>
          <w:color w:val="666666"/>
          <w:sz w:val="18"/>
          <w:szCs w:val="18"/>
          <w:lang w:eastAsia="en-ZA"/>
        </w:rPr>
        <w:t>Qualification</w:t>
      </w:r>
      <w:r w:rsidRPr="00E7265C">
        <w:rPr>
          <w:rFonts w:ascii="Arial" w:eastAsia="Times New Roman" w:hAnsi="Arial" w:cs="Arial"/>
          <w:color w:val="666666"/>
          <w:sz w:val="18"/>
          <w:szCs w:val="18"/>
          <w:lang w:eastAsia="en-ZA"/>
        </w:rPr>
        <w:t xml:space="preserve"> course is rated as a Level 4 certification on the National Qualifications Framework (NQF).</w:t>
      </w:r>
    </w:p>
    <w:p w:rsidR="00E7265C" w:rsidRPr="00E7265C" w:rsidRDefault="0051232D" w:rsidP="00E7265C">
      <w:pPr>
        <w:numPr>
          <w:ilvl w:val="0"/>
          <w:numId w:val="6"/>
        </w:numPr>
        <w:spacing w:before="100" w:beforeAutospacing="1" w:after="100" w:afterAutospacing="1"/>
        <w:rPr>
          <w:rFonts w:ascii="Arial" w:eastAsia="Times New Roman" w:hAnsi="Arial" w:cs="Arial"/>
          <w:color w:val="666666"/>
          <w:sz w:val="18"/>
          <w:szCs w:val="18"/>
          <w:lang w:eastAsia="en-ZA"/>
        </w:rPr>
      </w:pPr>
      <w:r>
        <w:rPr>
          <w:rFonts w:ascii="Arial" w:eastAsia="Times New Roman" w:hAnsi="Arial" w:cs="Arial"/>
          <w:color w:val="666666"/>
          <w:sz w:val="18"/>
          <w:szCs w:val="18"/>
          <w:lang w:eastAsia="en-ZA"/>
        </w:rPr>
        <w:t xml:space="preserve">Sage </w:t>
      </w:r>
      <w:r w:rsidR="00E7265C" w:rsidRPr="00E7265C">
        <w:rPr>
          <w:rFonts w:ascii="Arial" w:eastAsia="Times New Roman" w:hAnsi="Arial" w:cs="Arial"/>
          <w:color w:val="666666"/>
          <w:sz w:val="18"/>
          <w:szCs w:val="18"/>
          <w:lang w:eastAsia="en-ZA"/>
        </w:rPr>
        <w:t>Pastel Payroll’s Accreditation Number with FASSET is 585/01018/09.</w:t>
      </w:r>
    </w:p>
    <w:p w:rsidR="00E7265C" w:rsidRPr="00E7265C" w:rsidRDefault="00E7265C" w:rsidP="00E7265C">
      <w:pPr>
        <w:spacing w:before="100" w:beforeAutospacing="1" w:after="100" w:afterAutospacing="1"/>
        <w:rPr>
          <w:rFonts w:ascii="Arial" w:eastAsia="Times New Roman" w:hAnsi="Arial" w:cs="Arial"/>
          <w:color w:val="666666"/>
          <w:sz w:val="18"/>
          <w:szCs w:val="18"/>
          <w:lang w:eastAsia="en-ZA"/>
        </w:rPr>
      </w:pPr>
      <w:r w:rsidRPr="00E7265C">
        <w:rPr>
          <w:rFonts w:ascii="Arial" w:eastAsia="Times New Roman" w:hAnsi="Arial" w:cs="Arial"/>
          <w:color w:val="666666"/>
          <w:sz w:val="18"/>
          <w:szCs w:val="18"/>
          <w:lang w:eastAsia="en-ZA"/>
        </w:rPr>
        <w:t>For more information on whether you can qualify for claiming grants, please contact your applicable SETA.</w:t>
      </w:r>
    </w:p>
    <w:p w:rsidR="002737B6" w:rsidRDefault="00C10BCE" w:rsidP="00BF1E66">
      <w:pPr>
        <w:spacing w:before="100" w:beforeAutospacing="1" w:after="100" w:afterAutospacing="1"/>
        <w:rPr>
          <w:rFonts w:ascii="Arial" w:eastAsia="Times New Roman" w:hAnsi="Arial" w:cs="Arial"/>
          <w:color w:val="666666"/>
          <w:sz w:val="18"/>
          <w:szCs w:val="18"/>
          <w:lang w:eastAsia="en-ZA"/>
        </w:rPr>
      </w:pPr>
      <w:bookmarkStart w:id="0" w:name="_GoBack"/>
      <w:r>
        <w:rPr>
          <w:rFonts w:ascii="Calibri" w:hAnsi="Calibri"/>
          <w:b/>
          <w:noProof/>
          <w:lang w:val="en-US"/>
        </w:rPr>
        <w:lastRenderedPageBreak/>
        <w:drawing>
          <wp:anchor distT="0" distB="0" distL="114300" distR="114300" simplePos="0" relativeHeight="251661312" behindDoc="1" locked="0" layoutInCell="1" allowOverlap="1" wp14:anchorId="6E41F579" wp14:editId="73732794">
            <wp:simplePos x="0" y="0"/>
            <wp:positionH relativeFrom="column">
              <wp:posOffset>-904875</wp:posOffset>
            </wp:positionH>
            <wp:positionV relativeFrom="paragraph">
              <wp:posOffset>-913130</wp:posOffset>
            </wp:positionV>
            <wp:extent cx="7572375" cy="10704195"/>
            <wp:effectExtent l="0" t="0" r="9525" b="1905"/>
            <wp:wrapNone/>
            <wp:docPr id="4" name="Picture 0" descr="Watermark-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03.jpg"/>
                    <pic:cNvPicPr/>
                  </pic:nvPicPr>
                  <pic:blipFill>
                    <a:blip r:embed="rId6"/>
                    <a:stretch>
                      <a:fillRect/>
                    </a:stretch>
                  </pic:blipFill>
                  <pic:spPr>
                    <a:xfrm>
                      <a:off x="0" y="0"/>
                      <a:ext cx="7572375" cy="10704195"/>
                    </a:xfrm>
                    <a:prstGeom prst="rect">
                      <a:avLst/>
                    </a:prstGeom>
                  </pic:spPr>
                </pic:pic>
              </a:graphicData>
            </a:graphic>
          </wp:anchor>
        </w:drawing>
      </w:r>
      <w:bookmarkEnd w:id="0"/>
      <w:r w:rsidR="002737B6">
        <w:rPr>
          <w:noProof/>
          <w:lang w:val="en-US"/>
        </w:rPr>
        <w:drawing>
          <wp:inline distT="0" distB="0" distL="0" distR="0" wp14:anchorId="2100A9A1" wp14:editId="317846D4">
            <wp:extent cx="762000" cy="762000"/>
            <wp:effectExtent l="0" t="0" r="0" b="0"/>
            <wp:docPr id="1" name="Picture 1" descr="https://www.pastelpayroll.co.za/images/ci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telpayroll.co.za/images/cib-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7265C" w:rsidRPr="003867B6" w:rsidRDefault="003867B6" w:rsidP="00BF1E66">
      <w:pPr>
        <w:spacing w:before="100" w:beforeAutospacing="1" w:after="100" w:afterAutospacing="1"/>
        <w:rPr>
          <w:rFonts w:ascii="Arial" w:eastAsia="Times New Roman" w:hAnsi="Arial" w:cs="Arial"/>
          <w:b/>
          <w:sz w:val="36"/>
          <w:szCs w:val="36"/>
          <w:lang w:eastAsia="en-ZA"/>
        </w:rPr>
      </w:pPr>
      <w:r w:rsidRPr="003867B6">
        <w:rPr>
          <w:rFonts w:ascii="Arial" w:eastAsia="Times New Roman" w:hAnsi="Arial" w:cs="Arial"/>
          <w:b/>
          <w:sz w:val="36"/>
          <w:szCs w:val="36"/>
          <w:lang w:eastAsia="en-ZA"/>
        </w:rPr>
        <w:t>THE INSTITUTE OF CERTIFIED BOOKKEEPERS</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176"/>
      </w:tblGrid>
      <w:tr w:rsidR="002737B6" w:rsidRPr="002737B6" w:rsidTr="003867B6">
        <w:trPr>
          <w:tblCellSpacing w:w="15" w:type="dxa"/>
        </w:trPr>
        <w:tc>
          <w:tcPr>
            <w:tcW w:w="4967" w:type="pct"/>
            <w:vAlign w:val="center"/>
            <w:hideMark/>
          </w:tcPr>
          <w:p w:rsidR="002737B6" w:rsidRPr="002737B6" w:rsidRDefault="002737B6" w:rsidP="002737B6">
            <w:pPr>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By completing our five 1-day Payroll training courses within a 6 month period you will have an internationally recognised accreditation with the ICB (Institute of Certified Bookkeepers) aligning you with a professional body, allowing you to use </w:t>
            </w:r>
            <w:r w:rsidRPr="002737B6">
              <w:rPr>
                <w:rFonts w:ascii="Arial" w:eastAsia="Times New Roman" w:hAnsi="Arial" w:cs="Arial"/>
                <w:b/>
                <w:bCs/>
                <w:color w:val="666666"/>
                <w:sz w:val="18"/>
                <w:szCs w:val="18"/>
                <w:lang w:eastAsia="en-ZA"/>
              </w:rPr>
              <w:t>the Payroll</w:t>
            </w:r>
            <w:r w:rsidRPr="002737B6">
              <w:rPr>
                <w:rFonts w:ascii="Arial" w:eastAsia="Times New Roman" w:hAnsi="Arial" w:cs="Arial"/>
                <w:color w:val="666666"/>
                <w:sz w:val="18"/>
                <w:szCs w:val="18"/>
                <w:lang w:eastAsia="en-ZA"/>
              </w:rPr>
              <w:t xml:space="preserve"> designation </w:t>
            </w:r>
            <w:proofErr w:type="spellStart"/>
            <w:r w:rsidRPr="002737B6">
              <w:rPr>
                <w:rFonts w:ascii="Arial" w:eastAsia="Times New Roman" w:hAnsi="Arial" w:cs="Arial"/>
                <w:color w:val="666666"/>
                <w:sz w:val="18"/>
                <w:szCs w:val="18"/>
                <w:lang w:eastAsia="en-ZA"/>
              </w:rPr>
              <w:t>CSPAIcb</w:t>
            </w:r>
            <w:proofErr w:type="spellEnd"/>
            <w:r w:rsidRPr="002737B6">
              <w:rPr>
                <w:rFonts w:ascii="Arial" w:eastAsia="Times New Roman" w:hAnsi="Arial" w:cs="Arial"/>
                <w:color w:val="666666"/>
                <w:sz w:val="18"/>
                <w:szCs w:val="18"/>
                <w:lang w:eastAsia="en-ZA"/>
              </w:rPr>
              <w:t xml:space="preserve">(SA). Clients who have completed their Level 1 and Level 2 training courses may also register with the ICB and will be allowed to use the </w:t>
            </w:r>
            <w:proofErr w:type="spellStart"/>
            <w:proofErr w:type="gramStart"/>
            <w:r w:rsidRPr="002737B6">
              <w:rPr>
                <w:rFonts w:ascii="Arial" w:eastAsia="Times New Roman" w:hAnsi="Arial" w:cs="Arial"/>
                <w:color w:val="666666"/>
                <w:sz w:val="18"/>
                <w:szCs w:val="18"/>
                <w:lang w:eastAsia="en-ZA"/>
              </w:rPr>
              <w:t>CJPAIcb</w:t>
            </w:r>
            <w:proofErr w:type="spellEnd"/>
            <w:r w:rsidRPr="002737B6">
              <w:rPr>
                <w:rFonts w:ascii="Arial" w:eastAsia="Times New Roman" w:hAnsi="Arial" w:cs="Arial"/>
                <w:color w:val="666666"/>
                <w:sz w:val="18"/>
                <w:szCs w:val="18"/>
                <w:lang w:eastAsia="en-ZA"/>
              </w:rPr>
              <w:t>(</w:t>
            </w:r>
            <w:proofErr w:type="gramEnd"/>
            <w:r w:rsidRPr="002737B6">
              <w:rPr>
                <w:rFonts w:ascii="Arial" w:eastAsia="Times New Roman" w:hAnsi="Arial" w:cs="Arial"/>
                <w:color w:val="666666"/>
                <w:sz w:val="18"/>
                <w:szCs w:val="18"/>
                <w:lang w:eastAsia="en-ZA"/>
              </w:rPr>
              <w:t>SA) designation (affiliate member).</w:t>
            </w:r>
          </w:p>
        </w:tc>
      </w:tr>
    </w:tbl>
    <w:p w:rsidR="002737B6" w:rsidRPr="003867B6" w:rsidRDefault="002737B6" w:rsidP="002737B6">
      <w:pPr>
        <w:spacing w:before="100" w:beforeAutospacing="1" w:after="100" w:afterAutospacing="1"/>
        <w:rPr>
          <w:rFonts w:ascii="Arial" w:eastAsia="Times New Roman" w:hAnsi="Arial" w:cs="Arial"/>
          <w:sz w:val="20"/>
          <w:szCs w:val="20"/>
          <w:lang w:eastAsia="en-ZA"/>
        </w:rPr>
      </w:pPr>
      <w:r w:rsidRPr="003867B6">
        <w:rPr>
          <w:rFonts w:ascii="Arial" w:eastAsia="Times New Roman" w:hAnsi="Arial" w:cs="Arial"/>
          <w:b/>
          <w:bCs/>
          <w:sz w:val="20"/>
          <w:szCs w:val="20"/>
          <w:lang w:eastAsia="en-ZA"/>
        </w:rPr>
        <w:t>As a member of the ICB you will receive the following benefits:</w:t>
      </w:r>
    </w:p>
    <w:p w:rsidR="002737B6" w:rsidRPr="002737B6" w:rsidRDefault="002737B6" w:rsidP="002737B6">
      <w:pPr>
        <w:numPr>
          <w:ilvl w:val="0"/>
          <w:numId w:val="3"/>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Membership Certificate.</w:t>
      </w:r>
    </w:p>
    <w:p w:rsidR="002737B6" w:rsidRPr="002737B6" w:rsidRDefault="002737B6" w:rsidP="002737B6">
      <w:pPr>
        <w:numPr>
          <w:ilvl w:val="0"/>
          <w:numId w:val="3"/>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Internationally recognised payroll designation that may be used on business cards and e-mail signatures.</w:t>
      </w:r>
    </w:p>
    <w:p w:rsidR="002737B6" w:rsidRPr="002737B6" w:rsidRDefault="002737B6" w:rsidP="002737B6">
      <w:pPr>
        <w:numPr>
          <w:ilvl w:val="0"/>
          <w:numId w:val="3"/>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Four issues of the ICB Magazine per annum.</w:t>
      </w:r>
    </w:p>
    <w:p w:rsidR="002737B6" w:rsidRPr="002737B6" w:rsidRDefault="002737B6" w:rsidP="002737B6">
      <w:pPr>
        <w:numPr>
          <w:ilvl w:val="0"/>
          <w:numId w:val="3"/>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Free and subsidised meetings.</w:t>
      </w:r>
    </w:p>
    <w:p w:rsidR="002737B6" w:rsidRPr="002737B6" w:rsidRDefault="002737B6" w:rsidP="002737B6">
      <w:pPr>
        <w:numPr>
          <w:ilvl w:val="0"/>
          <w:numId w:val="3"/>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Free ICB branded diary.</w:t>
      </w:r>
    </w:p>
    <w:p w:rsidR="002737B6" w:rsidRPr="003867B6" w:rsidRDefault="002737B6" w:rsidP="002737B6">
      <w:pPr>
        <w:spacing w:before="100" w:beforeAutospacing="1" w:after="100" w:afterAutospacing="1"/>
        <w:rPr>
          <w:rFonts w:ascii="Arial" w:eastAsia="Times New Roman" w:hAnsi="Arial" w:cs="Arial"/>
          <w:sz w:val="20"/>
          <w:szCs w:val="20"/>
          <w:lang w:eastAsia="en-ZA"/>
        </w:rPr>
      </w:pPr>
      <w:r w:rsidRPr="003867B6">
        <w:rPr>
          <w:rFonts w:ascii="Arial" w:eastAsia="Times New Roman" w:hAnsi="Arial" w:cs="Arial"/>
          <w:b/>
          <w:bCs/>
          <w:sz w:val="20"/>
          <w:szCs w:val="20"/>
          <w:lang w:eastAsia="en-ZA"/>
        </w:rPr>
        <w:t xml:space="preserve">Modules to be completed to qualify for the </w:t>
      </w:r>
      <w:proofErr w:type="gramStart"/>
      <w:r w:rsidRPr="003867B6">
        <w:rPr>
          <w:rFonts w:ascii="Arial" w:eastAsia="Times New Roman" w:hAnsi="Arial" w:cs="Arial"/>
          <w:b/>
          <w:bCs/>
          <w:sz w:val="20"/>
          <w:szCs w:val="20"/>
          <w:lang w:eastAsia="en-ZA"/>
        </w:rPr>
        <w:t>CSPAICB(</w:t>
      </w:r>
      <w:proofErr w:type="gramEnd"/>
      <w:r w:rsidRPr="003867B6">
        <w:rPr>
          <w:rFonts w:ascii="Arial" w:eastAsia="Times New Roman" w:hAnsi="Arial" w:cs="Arial"/>
          <w:b/>
          <w:bCs/>
          <w:sz w:val="20"/>
          <w:szCs w:val="20"/>
          <w:lang w:eastAsia="en-ZA"/>
        </w:rPr>
        <w:t>SA) Designation (member):</w:t>
      </w:r>
    </w:p>
    <w:p w:rsidR="002737B6" w:rsidRPr="002737B6" w:rsidRDefault="002737B6" w:rsidP="002737B6">
      <w:pPr>
        <w:numPr>
          <w:ilvl w:val="0"/>
          <w:numId w:val="4"/>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Training Level 1</w:t>
      </w:r>
    </w:p>
    <w:p w:rsidR="002737B6" w:rsidRPr="002737B6" w:rsidRDefault="002737B6" w:rsidP="002737B6">
      <w:pPr>
        <w:numPr>
          <w:ilvl w:val="0"/>
          <w:numId w:val="4"/>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Training Level 2</w:t>
      </w:r>
    </w:p>
    <w:p w:rsidR="002737B6" w:rsidRPr="002737B6" w:rsidRDefault="002737B6" w:rsidP="002737B6">
      <w:pPr>
        <w:numPr>
          <w:ilvl w:val="0"/>
          <w:numId w:val="4"/>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Payroll Tax Training</w:t>
      </w:r>
    </w:p>
    <w:p w:rsidR="002737B6" w:rsidRPr="002737B6" w:rsidRDefault="002737B6" w:rsidP="002737B6">
      <w:pPr>
        <w:numPr>
          <w:ilvl w:val="0"/>
          <w:numId w:val="4"/>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Payroll Administration Training</w:t>
      </w:r>
    </w:p>
    <w:p w:rsidR="002737B6" w:rsidRPr="002737B6" w:rsidRDefault="002737B6" w:rsidP="002737B6">
      <w:pPr>
        <w:numPr>
          <w:ilvl w:val="0"/>
          <w:numId w:val="4"/>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Problem Solving Training *</w:t>
      </w:r>
    </w:p>
    <w:p w:rsidR="002737B6" w:rsidRPr="003867B6" w:rsidRDefault="002737B6" w:rsidP="002737B6">
      <w:pPr>
        <w:spacing w:before="100" w:beforeAutospacing="1" w:after="100" w:afterAutospacing="1"/>
        <w:rPr>
          <w:rFonts w:ascii="Arial" w:eastAsia="Times New Roman" w:hAnsi="Arial" w:cs="Arial"/>
          <w:sz w:val="20"/>
          <w:szCs w:val="20"/>
          <w:lang w:eastAsia="en-ZA"/>
        </w:rPr>
      </w:pPr>
      <w:r w:rsidRPr="003867B6">
        <w:rPr>
          <w:rFonts w:ascii="Arial" w:eastAsia="Times New Roman" w:hAnsi="Arial" w:cs="Arial"/>
          <w:b/>
          <w:bCs/>
          <w:sz w:val="20"/>
          <w:szCs w:val="20"/>
          <w:lang w:eastAsia="en-ZA"/>
        </w:rPr>
        <w:t xml:space="preserve">Modules to be completed to qualify for the </w:t>
      </w:r>
      <w:proofErr w:type="gramStart"/>
      <w:r w:rsidRPr="003867B6">
        <w:rPr>
          <w:rFonts w:ascii="Arial" w:eastAsia="Times New Roman" w:hAnsi="Arial" w:cs="Arial"/>
          <w:b/>
          <w:bCs/>
          <w:sz w:val="20"/>
          <w:szCs w:val="20"/>
          <w:lang w:eastAsia="en-ZA"/>
        </w:rPr>
        <w:t>CJPAICB(</w:t>
      </w:r>
      <w:proofErr w:type="gramEnd"/>
      <w:r w:rsidRPr="003867B6">
        <w:rPr>
          <w:rFonts w:ascii="Arial" w:eastAsia="Times New Roman" w:hAnsi="Arial" w:cs="Arial"/>
          <w:b/>
          <w:bCs/>
          <w:sz w:val="20"/>
          <w:szCs w:val="20"/>
          <w:lang w:eastAsia="en-ZA"/>
        </w:rPr>
        <w:t>SA) Designation (member):</w:t>
      </w:r>
    </w:p>
    <w:p w:rsidR="002737B6" w:rsidRPr="002737B6" w:rsidRDefault="002737B6" w:rsidP="002737B6">
      <w:pPr>
        <w:numPr>
          <w:ilvl w:val="0"/>
          <w:numId w:val="5"/>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Training Level 1</w:t>
      </w:r>
    </w:p>
    <w:p w:rsidR="002737B6" w:rsidRDefault="002737B6" w:rsidP="002737B6">
      <w:pPr>
        <w:numPr>
          <w:ilvl w:val="0"/>
          <w:numId w:val="5"/>
        </w:num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Training Level 2</w:t>
      </w:r>
    </w:p>
    <w:p w:rsidR="003867B6" w:rsidRDefault="003867B6" w:rsidP="002737B6">
      <w:pPr>
        <w:spacing w:before="100" w:beforeAutospacing="1" w:after="100" w:afterAutospacing="1"/>
        <w:rPr>
          <w:rFonts w:ascii="Arial" w:eastAsia="Times New Roman" w:hAnsi="Arial" w:cs="Arial"/>
          <w:color w:val="666666"/>
          <w:sz w:val="18"/>
          <w:szCs w:val="18"/>
          <w:lang w:eastAsia="en-ZA"/>
        </w:rPr>
      </w:pPr>
    </w:p>
    <w:p w:rsidR="002737B6" w:rsidRPr="003867B6" w:rsidRDefault="002737B6" w:rsidP="002737B6">
      <w:pPr>
        <w:spacing w:before="100" w:beforeAutospacing="1" w:after="100" w:afterAutospacing="1"/>
        <w:rPr>
          <w:rFonts w:ascii="Arial" w:eastAsia="Times New Roman" w:hAnsi="Arial" w:cs="Arial"/>
          <w:b/>
          <w:sz w:val="24"/>
          <w:szCs w:val="24"/>
          <w:lang w:eastAsia="en-ZA"/>
        </w:rPr>
      </w:pPr>
      <w:r w:rsidRPr="003867B6">
        <w:rPr>
          <w:rFonts w:ascii="Arial" w:eastAsia="Times New Roman" w:hAnsi="Arial" w:cs="Arial"/>
          <w:b/>
          <w:sz w:val="24"/>
          <w:szCs w:val="24"/>
          <w:lang w:eastAsia="en-ZA"/>
        </w:rPr>
        <w:t>HANDS ON TRAINING COURSES</w:t>
      </w:r>
    </w:p>
    <w:p w:rsidR="002737B6" w:rsidRPr="002737B6" w:rsidRDefault="002737B6" w:rsidP="002737B6">
      <w:pPr>
        <w:spacing w:before="100" w:beforeAutospacing="1" w:after="100" w:afterAutospacing="1"/>
        <w:rPr>
          <w:rFonts w:ascii="Arial" w:eastAsia="Times New Roman" w:hAnsi="Arial" w:cs="Arial"/>
          <w:color w:val="666666"/>
          <w:sz w:val="18"/>
          <w:szCs w:val="18"/>
          <w:lang w:eastAsia="en-ZA"/>
        </w:rPr>
      </w:pPr>
      <w:r w:rsidRPr="002737B6">
        <w:rPr>
          <w:rFonts w:ascii="Arial" w:eastAsia="Times New Roman" w:hAnsi="Arial" w:cs="Arial"/>
          <w:color w:val="666666"/>
          <w:sz w:val="18"/>
          <w:szCs w:val="18"/>
          <w:lang w:eastAsia="en-ZA"/>
        </w:rPr>
        <w:t xml:space="preserve">Our </w:t>
      </w:r>
      <w:r w:rsidR="00552432">
        <w:rPr>
          <w:rFonts w:ascii="Arial" w:eastAsia="Times New Roman" w:hAnsi="Arial" w:cs="Arial"/>
          <w:color w:val="666666"/>
          <w:sz w:val="18"/>
          <w:szCs w:val="18"/>
          <w:lang w:eastAsia="en-ZA"/>
        </w:rPr>
        <w:t xml:space="preserve">Sage Pastel </w:t>
      </w:r>
      <w:r w:rsidRPr="002737B6">
        <w:rPr>
          <w:rFonts w:ascii="Arial" w:eastAsia="Times New Roman" w:hAnsi="Arial" w:cs="Arial"/>
          <w:color w:val="666666"/>
          <w:sz w:val="18"/>
          <w:szCs w:val="18"/>
          <w:lang w:eastAsia="en-ZA"/>
        </w:rPr>
        <w:t>Payroll Training Courses are hands on and interactive, enabling the trainee to actively take part in step-by-step procedures for each payroll scenario. All lecturers have extensive and in-depth knowledge of the South African payroll industry which ensures the highest standard of training offered.</w:t>
      </w:r>
    </w:p>
    <w:p w:rsidR="002737B6" w:rsidRPr="002737B6" w:rsidRDefault="002737B6" w:rsidP="002737B6">
      <w:pPr>
        <w:spacing w:before="100" w:beforeAutospacing="1" w:after="100" w:afterAutospacing="1"/>
        <w:rPr>
          <w:rFonts w:ascii="Arial" w:eastAsia="Times New Roman" w:hAnsi="Arial" w:cs="Arial"/>
          <w:color w:val="666666"/>
          <w:sz w:val="18"/>
          <w:szCs w:val="18"/>
          <w:lang w:eastAsia="en-ZA"/>
        </w:rPr>
      </w:pPr>
    </w:p>
    <w:p w:rsidR="002737B6" w:rsidRPr="00BF1E66" w:rsidRDefault="002737B6" w:rsidP="00BF1E66">
      <w:pPr>
        <w:spacing w:before="100" w:beforeAutospacing="1" w:after="100" w:afterAutospacing="1"/>
        <w:rPr>
          <w:rFonts w:ascii="Arial" w:eastAsia="Times New Roman" w:hAnsi="Arial" w:cs="Arial"/>
          <w:color w:val="666666"/>
          <w:sz w:val="18"/>
          <w:szCs w:val="18"/>
          <w:lang w:eastAsia="en-ZA"/>
        </w:rPr>
      </w:pPr>
    </w:p>
    <w:p w:rsidR="0082569D" w:rsidRDefault="0082569D"/>
    <w:p w:rsidR="00BB5D9A" w:rsidRDefault="00BB5D9A"/>
    <w:sectPr w:rsidR="00BB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Neue LT Com">
    <w:altName w:val="Helvetica Neue LT Com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4BD"/>
    <w:multiLevelType w:val="multilevel"/>
    <w:tmpl w:val="F6C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944EE"/>
    <w:multiLevelType w:val="multilevel"/>
    <w:tmpl w:val="4786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94061"/>
    <w:multiLevelType w:val="multilevel"/>
    <w:tmpl w:val="EF4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51252"/>
    <w:multiLevelType w:val="multilevel"/>
    <w:tmpl w:val="1F4E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06997"/>
    <w:multiLevelType w:val="multilevel"/>
    <w:tmpl w:val="285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A4311A"/>
    <w:multiLevelType w:val="multilevel"/>
    <w:tmpl w:val="DA10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D9"/>
    <w:rsid w:val="002737B6"/>
    <w:rsid w:val="003867B6"/>
    <w:rsid w:val="0051232D"/>
    <w:rsid w:val="00552432"/>
    <w:rsid w:val="00570373"/>
    <w:rsid w:val="006B0F29"/>
    <w:rsid w:val="0082569D"/>
    <w:rsid w:val="00873B5A"/>
    <w:rsid w:val="00B01F41"/>
    <w:rsid w:val="00B96164"/>
    <w:rsid w:val="00BB5D9A"/>
    <w:rsid w:val="00BF1E66"/>
    <w:rsid w:val="00C10BCE"/>
    <w:rsid w:val="00D35FE8"/>
    <w:rsid w:val="00E7265C"/>
    <w:rsid w:val="00FB5E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E66"/>
    <w:pPr>
      <w:spacing w:before="100" w:beforeAutospacing="1" w:after="100" w:afterAutospacing="1"/>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BF1E66"/>
  </w:style>
  <w:style w:type="paragraph" w:styleId="BalloonText">
    <w:name w:val="Balloon Text"/>
    <w:basedOn w:val="Normal"/>
    <w:link w:val="BalloonTextChar"/>
    <w:uiPriority w:val="99"/>
    <w:semiHidden/>
    <w:unhideWhenUsed/>
    <w:rsid w:val="002737B6"/>
    <w:rPr>
      <w:rFonts w:ascii="Tahoma" w:hAnsi="Tahoma" w:cs="Tahoma"/>
      <w:sz w:val="16"/>
      <w:szCs w:val="16"/>
    </w:rPr>
  </w:style>
  <w:style w:type="character" w:customStyle="1" w:styleId="BalloonTextChar">
    <w:name w:val="Balloon Text Char"/>
    <w:basedOn w:val="DefaultParagraphFont"/>
    <w:link w:val="BalloonText"/>
    <w:uiPriority w:val="99"/>
    <w:semiHidden/>
    <w:rsid w:val="00273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E66"/>
    <w:pPr>
      <w:spacing w:before="100" w:beforeAutospacing="1" w:after="100" w:afterAutospacing="1"/>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BF1E66"/>
  </w:style>
  <w:style w:type="paragraph" w:styleId="BalloonText">
    <w:name w:val="Balloon Text"/>
    <w:basedOn w:val="Normal"/>
    <w:link w:val="BalloonTextChar"/>
    <w:uiPriority w:val="99"/>
    <w:semiHidden/>
    <w:unhideWhenUsed/>
    <w:rsid w:val="002737B6"/>
    <w:rPr>
      <w:rFonts w:ascii="Tahoma" w:hAnsi="Tahoma" w:cs="Tahoma"/>
      <w:sz w:val="16"/>
      <w:szCs w:val="16"/>
    </w:rPr>
  </w:style>
  <w:style w:type="character" w:customStyle="1" w:styleId="BalloonTextChar">
    <w:name w:val="Balloon Text Char"/>
    <w:basedOn w:val="DefaultParagraphFont"/>
    <w:link w:val="BalloonText"/>
    <w:uiPriority w:val="99"/>
    <w:semiHidden/>
    <w:rsid w:val="00273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7609">
      <w:bodyDiv w:val="1"/>
      <w:marLeft w:val="0"/>
      <w:marRight w:val="0"/>
      <w:marTop w:val="0"/>
      <w:marBottom w:val="0"/>
      <w:divBdr>
        <w:top w:val="none" w:sz="0" w:space="0" w:color="auto"/>
        <w:left w:val="none" w:sz="0" w:space="0" w:color="auto"/>
        <w:bottom w:val="none" w:sz="0" w:space="0" w:color="auto"/>
        <w:right w:val="none" w:sz="0" w:space="0" w:color="auto"/>
      </w:divBdr>
    </w:div>
    <w:div w:id="736318799">
      <w:bodyDiv w:val="1"/>
      <w:marLeft w:val="0"/>
      <w:marRight w:val="0"/>
      <w:marTop w:val="0"/>
      <w:marBottom w:val="0"/>
      <w:divBdr>
        <w:top w:val="none" w:sz="0" w:space="0" w:color="auto"/>
        <w:left w:val="none" w:sz="0" w:space="0" w:color="auto"/>
        <w:bottom w:val="none" w:sz="0" w:space="0" w:color="auto"/>
        <w:right w:val="none" w:sz="0" w:space="0" w:color="auto"/>
      </w:divBdr>
    </w:div>
    <w:div w:id="940189140">
      <w:bodyDiv w:val="1"/>
      <w:marLeft w:val="0"/>
      <w:marRight w:val="0"/>
      <w:marTop w:val="0"/>
      <w:marBottom w:val="0"/>
      <w:divBdr>
        <w:top w:val="none" w:sz="0" w:space="0" w:color="auto"/>
        <w:left w:val="none" w:sz="0" w:space="0" w:color="auto"/>
        <w:bottom w:val="none" w:sz="0" w:space="0" w:color="auto"/>
        <w:right w:val="none" w:sz="0" w:space="0" w:color="auto"/>
      </w:divBdr>
      <w:divsChild>
        <w:div w:id="85884341">
          <w:marLeft w:val="0"/>
          <w:marRight w:val="0"/>
          <w:marTop w:val="0"/>
          <w:marBottom w:val="0"/>
          <w:divBdr>
            <w:top w:val="none" w:sz="0" w:space="0" w:color="auto"/>
            <w:left w:val="none" w:sz="0" w:space="0" w:color="auto"/>
            <w:bottom w:val="none" w:sz="0" w:space="0" w:color="auto"/>
            <w:right w:val="none" w:sz="0" w:space="0" w:color="auto"/>
          </w:divBdr>
        </w:div>
      </w:divsChild>
    </w:div>
    <w:div w:id="1089888227">
      <w:bodyDiv w:val="1"/>
      <w:marLeft w:val="0"/>
      <w:marRight w:val="0"/>
      <w:marTop w:val="0"/>
      <w:marBottom w:val="0"/>
      <w:divBdr>
        <w:top w:val="none" w:sz="0" w:space="0" w:color="auto"/>
        <w:left w:val="none" w:sz="0" w:space="0" w:color="auto"/>
        <w:bottom w:val="none" w:sz="0" w:space="0" w:color="auto"/>
        <w:right w:val="none" w:sz="0" w:space="0" w:color="auto"/>
      </w:divBdr>
    </w:div>
    <w:div w:id="1465005347">
      <w:bodyDiv w:val="1"/>
      <w:marLeft w:val="0"/>
      <w:marRight w:val="0"/>
      <w:marTop w:val="0"/>
      <w:marBottom w:val="0"/>
      <w:divBdr>
        <w:top w:val="none" w:sz="0" w:space="0" w:color="auto"/>
        <w:left w:val="none" w:sz="0" w:space="0" w:color="auto"/>
        <w:bottom w:val="none" w:sz="0" w:space="0" w:color="auto"/>
        <w:right w:val="none" w:sz="0" w:space="0" w:color="auto"/>
      </w:divBdr>
      <w:divsChild>
        <w:div w:id="1990013728">
          <w:marLeft w:val="0"/>
          <w:marRight w:val="0"/>
          <w:marTop w:val="0"/>
          <w:marBottom w:val="0"/>
          <w:divBdr>
            <w:top w:val="none" w:sz="0" w:space="0" w:color="auto"/>
            <w:left w:val="none" w:sz="0" w:space="0" w:color="auto"/>
            <w:bottom w:val="none" w:sz="0" w:space="0" w:color="auto"/>
            <w:right w:val="none" w:sz="0" w:space="0" w:color="auto"/>
          </w:divBdr>
          <w:divsChild>
            <w:div w:id="1511412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204210">
      <w:bodyDiv w:val="1"/>
      <w:marLeft w:val="0"/>
      <w:marRight w:val="0"/>
      <w:marTop w:val="0"/>
      <w:marBottom w:val="0"/>
      <w:divBdr>
        <w:top w:val="none" w:sz="0" w:space="0" w:color="auto"/>
        <w:left w:val="none" w:sz="0" w:space="0" w:color="auto"/>
        <w:bottom w:val="none" w:sz="0" w:space="0" w:color="auto"/>
        <w:right w:val="none" w:sz="0" w:space="0" w:color="auto"/>
      </w:divBdr>
      <w:divsChild>
        <w:div w:id="145536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el.co.za/Accounting-Software-Training/Become-An-Authorised-Training-Centre.asp"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Nel</dc:creator>
  <cp:lastModifiedBy>Moderator</cp:lastModifiedBy>
  <cp:revision>2</cp:revision>
  <cp:lastPrinted>2014-01-10T05:38:00Z</cp:lastPrinted>
  <dcterms:created xsi:type="dcterms:W3CDTF">2015-10-05T08:37:00Z</dcterms:created>
  <dcterms:modified xsi:type="dcterms:W3CDTF">2015-10-05T08:37:00Z</dcterms:modified>
</cp:coreProperties>
</file>